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:rsidRPr="002D12EF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Pr="002D12EF" w:rsidRDefault="00500888" w:rsidP="0086238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Charakteristika predkladaného výstupu tvorivej činnosti / </w:t>
            </w:r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br/>
            </w:r>
            <w:proofErr w:type="spellStart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Characteristics</w:t>
            </w:r>
            <w:proofErr w:type="spellEnd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submitted</w:t>
            </w:r>
            <w:proofErr w:type="spellEnd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research</w:t>
            </w:r>
            <w:proofErr w:type="spellEnd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/ </w:t>
            </w:r>
            <w:proofErr w:type="spellStart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artistic</w:t>
            </w:r>
            <w:proofErr w:type="spellEnd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other</w:t>
            </w:r>
            <w:proofErr w:type="spellEnd"/>
            <w:r w:rsidRPr="002D12E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 output</w:t>
            </w:r>
          </w:p>
        </w:tc>
      </w:tr>
      <w:tr w:rsidR="00500888" w:rsidRPr="002D12EF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Pr="002D12EF" w:rsidRDefault="00500888" w:rsidP="00862380">
            <w:pPr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Pr="002D12EF" w:rsidRDefault="00500888" w:rsidP="0086238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500888" w:rsidRPr="002D12EF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888" w:rsidRPr="002D12EF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Pr="002D12EF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form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is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used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to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submit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research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artistic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other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outputs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according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to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evaluation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methodology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research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artistic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other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activities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(part V.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Methodology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for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Standards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>Evaluation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888" w:rsidRPr="002D12EF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Pr="002D12EF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Pr="002D12EF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20"/>
                <w:szCs w:val="20"/>
              </w:rPr>
            </w:pPr>
          </w:p>
        </w:tc>
      </w:tr>
      <w:tr w:rsidR="00500888" w:rsidRPr="002D12EF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888" w:rsidRPr="002D12EF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Pr="002D12EF" w:rsidRDefault="007F1E7F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4" w:anchor="'poznamky_explanatory notes'!A1" w:history="1">
              <w:r w:rsidR="00500888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ID konania/ID of </w:t>
              </w:r>
              <w:proofErr w:type="spellStart"/>
              <w:r w:rsidR="00500888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500888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500888" w:rsidRPr="002D12EF">
                <w:rPr>
                  <w:rFonts w:asciiTheme="minorHAnsi" w:hAnsiTheme="minorHAnsi" w:cstheme="minorHAnsi"/>
                  <w:sz w:val="20"/>
                  <w:szCs w:val="20"/>
                </w:rPr>
                <w:t>procedure</w:t>
              </w:r>
              <w:proofErr w:type="spellEnd"/>
              <w:r w:rsidR="00500888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: </w:t>
              </w:r>
              <w:r w:rsidR="00500888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Pr="002D12EF" w:rsidRDefault="00500888" w:rsidP="0086238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888" w:rsidRPr="002D12EF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Pr="002D12EF" w:rsidRDefault="00500888" w:rsidP="0086238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  <w:instrText xml:space="preserve"> HYPERLINK "file:///E:\\Šablony%20akreditácia\\4_VTC.xlsx" \l "'poznamky_explanatory notes'!A1" </w:instrText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Kód VTC/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Code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research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artistic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other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output (RAOO):</w:t>
            </w:r>
            <w:r w:rsidRPr="002D12E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Pr="002D12EF" w:rsidRDefault="00500888" w:rsidP="0086238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0888" w:rsidRPr="002D12EF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Pr="002D12EF" w:rsidRDefault="00500888" w:rsidP="0086238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Pr="002D12EF" w:rsidRDefault="00500888" w:rsidP="008623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5" w:anchor="'poznamky_explanatory notes'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OCA1. Priezvisko hodnotenej osoby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Surname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awarded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to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assessed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person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8E4FFE6" w:rsidR="00BC003C" w:rsidRPr="002D12EF" w:rsidRDefault="00BC003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Božik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6" w:anchor="'poznamky_explanatory notes'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OCA2. Meno hodnotenej osoby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Name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awarded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to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assessed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person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42FC3A58" w:rsidR="00BC003C" w:rsidRPr="002D12EF" w:rsidRDefault="00BC003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Jozef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7" w:anchor="'poznamky_explanatory notes'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OCA3. Tituly hodnotenej osoby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Degrees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awarded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to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assessed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person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4265924" w:rsidR="00BC003C" w:rsidRPr="002D12EF" w:rsidRDefault="00BC003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doc. PaedDr., PhD.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8" w:anchor="'poznamky_explanatory notes'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OCA4.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Hyperlink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na záznam osoby v Registri zamestnancov vysokých škôl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Hyperlink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to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entry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person in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Register of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university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staff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7ECCD06D" w:rsidR="00BC003C" w:rsidRPr="002D12EF" w:rsidRDefault="00BC003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Style w:val="Hyperlink0"/>
                <w:rFonts w:asciiTheme="minorHAnsi" w:hAnsiTheme="minorHAnsi" w:cstheme="minorHAnsi"/>
                <w:sz w:val="20"/>
                <w:szCs w:val="20"/>
              </w:rPr>
              <w:t>https://www.portalvs.sk/regzam/detail/12414?mode=full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9" w:anchor="'poznamky_explanatory notes'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OCA5. Oblasť posudzovania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Area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assessment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Pr="002D12EF" w:rsidRDefault="00BC003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D12EF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 w:rsidRPr="002D12EF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D12EF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 w:rsidRPr="002D12EF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2D12EF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 w:rsidRPr="002D12EF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D12EF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0" w:anchor="Expl.OCA6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OCA6. Kategória výstupu tvorivej činnosti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Category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research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artistic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/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other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output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br/>
              </w:r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Výber zo 6 možností (pozri Vysvetlivky k položke OCA6)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Choice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from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6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options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(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see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Explanations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for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D12EF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Vedecký výstup /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scientific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Pr="002D12EF" w:rsidRDefault="00BC003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OCA7. Rok vydania výstupu tvorivej činnosti /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Year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publication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research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artistic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0A27CA7" w:rsidR="00BC003C" w:rsidRPr="002D12EF" w:rsidRDefault="00BC003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2022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1" w:anchor="'poznamky_explanatory notes'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OCA8. ID záznamu v CREPČ alebo CREUČ </w:t>
              </w:r>
              <w:r w:rsidR="00BC003C" w:rsidRPr="002D12EF">
                <w:rPr>
                  <w:rFonts w:asciiTheme="minorHAnsi" w:hAnsiTheme="minorHAnsi" w:cstheme="minorHAnsi"/>
                  <w:i/>
                  <w:iCs/>
                  <w:sz w:val="20"/>
                  <w:szCs w:val="20"/>
                </w:rPr>
                <w:t>(ak je)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/ ID of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record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in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Central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Registry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Publication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Activity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(CRPA) or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Central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Registry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Artistic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Activity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(CRAA)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2590BF54" w:rsidR="00BC003C" w:rsidRPr="002D12EF" w:rsidRDefault="00FC776C" w:rsidP="00BC00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7E7A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508719 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anchor="'poznamky_explanatory notes'!A1" w:history="1"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OCA9.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Hyperlink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na záznam v CREPČ alebo CREUČ /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Hyperlink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to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>record</w:t>
              </w:r>
              <w:proofErr w:type="spellEnd"/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in CRPA or CRAA </w:t>
              </w:r>
              <w:r w:rsidR="00BC003C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2717C3A5" w:rsidR="00BC003C" w:rsidRPr="002D12EF" w:rsidRDefault="007F1E7F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1E7F">
              <w:rPr>
                <w:rFonts w:asciiTheme="minorHAnsi" w:hAnsiTheme="minorHAnsi" w:cstheme="minorHAnsi"/>
                <w:sz w:val="20"/>
                <w:szCs w:val="20"/>
              </w:rPr>
              <w:t>https://app.crepc.sk/?fn=detailBiblioFormChildI62CM&amp;sid=656CE31F2EBAB640138594C17D&amp;seo=CREP%C4%8C-detail-%C4%8Cl%C3%A1nok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C003C" w:rsidRPr="002D12EF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Pr="002D12EF" w:rsidRDefault="00BC003C" w:rsidP="00BC003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Charakteristika výstupu, ktorý nie je registrovaný v CREPČ alebo CREUČ /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Characteristics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output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that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not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registered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17B891BB" w14:textId="39D913AA" w:rsidR="00BC003C" w:rsidRPr="002D12EF" w:rsidRDefault="005F6959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OCA10. Hyperlink na z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áznam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v inom verejne prístupnom registri,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katal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ó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gu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výstupov tvorivý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ch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činností </w:t>
            </w:r>
            <w:r w:rsidRPr="002D12E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/ Hyperlink to the record in another publicly accessible register, catalogue of research/ artistic/other outputs </w:t>
            </w:r>
            <w:r w:rsidRPr="002D12E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0A96EA1" w:rsidR="00BC003C" w:rsidRPr="002D12EF" w:rsidRDefault="00E37701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https://www.scienceopen.com/document?vid=06dd5822-bee2-4e10-ae36-dd52b3bf9d0f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Pr="002D12EF" w:rsidRDefault="00BC003C" w:rsidP="00BC00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6BCF4A6B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OCA11. Charakteristika výstupu vo formáte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bibliografick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é</w:t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ho záznamu CREPČ alebo CREUČ, ak výstup nie je vo verejne prístupnom registri alebo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katal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ó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gu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vý</w:t>
            </w:r>
            <w:r w:rsidRPr="002D12E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stupov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CE336" w14:textId="3EBC0DFD" w:rsidR="00764F4B" w:rsidRPr="002D12EF" w:rsidRDefault="00E37701" w:rsidP="00764F4B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Low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occurence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Tuberculosis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and HIV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among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Ukrainian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Immigrants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War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at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Border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post in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Uzhorod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Vysne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Nemecke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at point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prevalence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testing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(note) /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Bundzelová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Katarína [Autor, 5.266%]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Hamarová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Mariana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Murgová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Anna [Autor, 5.263%] ; Popovičová, Mária [Autor, 5.263%] ; Krčméry, Vladimír [Autor, 5.263%] ; Oláh, Michal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Brichta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Július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Jackulíková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Mária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Igliarová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Božena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Hunyadiová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Stanislava [Autor, 5.263%] ; Vallová, Jana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Vladárová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Markéta [Autor, 5.263%] ; Roman, Ladislav [Autor, 5.263%] ; Hupková, Ingrid [Autor, 5.263%] ; Macková, Zdenka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Bujdová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Nataša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Božík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Jozef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Fritsch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Tobias [Autor, 5.263%] ;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Toran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Alexandra [Autor, 5.263%]. – [recenzované]. – WOS CC In: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Clinical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Social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Work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and Health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Intervention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[textový dokument (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print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)] [elektronický dokument] . – Viedeň (Rakúsko) :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Gesellschaft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für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angewandte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Präventionsmedizin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. – ISSN 2222-386X. – ISSN (online) 2076-9741. – Roč. 13, č. 4 (2022), s. 24-25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73B448D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OCA12. Typ výstupu (ak nie je výstup registrovaný v CREPČ alebo CREUČ</w:t>
            </w:r>
            <w:r w:rsidRPr="002D12E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) / Type of the output (if the output is not registered in CRPA or CRAA)</w:t>
            </w:r>
            <w:r w:rsidRPr="002D12E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Vý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nl-NL"/>
              </w:rPr>
              <w:t>ber zo 67 mo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žností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(pozri Vysvetlivky k polož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/>
              </w:rPr>
              <w:t>ke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256CBCF8" w:rsidR="00764F4B" w:rsidRPr="002D12EF" w:rsidRDefault="00764F4B" w:rsidP="00764F4B">
            <w:pPr>
              <w:pStyle w:val="Textpoznmkypodiarou"/>
              <w:rPr>
                <w:rFonts w:asciiTheme="minorHAnsi" w:hAnsiTheme="minorHAnsi" w:cstheme="minorHAnsi"/>
                <w:color w:val="000000"/>
              </w:rPr>
            </w:pPr>
            <w:r w:rsidRPr="002D12EF">
              <w:rPr>
                <w:rFonts w:asciiTheme="minorHAnsi" w:hAnsiTheme="minorHAnsi" w:cstheme="minorHAnsi"/>
                <w:color w:val="000000"/>
              </w:rPr>
              <w:t>V3 (AD</w:t>
            </w:r>
            <w:r w:rsidR="00641D5C" w:rsidRPr="002D12EF">
              <w:rPr>
                <w:rFonts w:asciiTheme="minorHAnsi" w:hAnsiTheme="minorHAnsi" w:cstheme="minorHAnsi"/>
                <w:color w:val="000000"/>
              </w:rPr>
              <w:t>D</w:t>
            </w:r>
            <w:r w:rsidRPr="002D12EF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FF0454" w:rsidRPr="002D12EF">
              <w:rPr>
                <w:rFonts w:asciiTheme="minorHAnsi" w:hAnsiTheme="minorHAnsi" w:cstheme="minorHAnsi"/>
                <w:color w:val="000000"/>
              </w:rPr>
              <w:t>Zahraničný</w:t>
            </w:r>
            <w:r w:rsidRPr="002D12EF">
              <w:rPr>
                <w:rFonts w:asciiTheme="minorHAnsi" w:hAnsiTheme="minorHAnsi" w:cstheme="minorHAnsi"/>
                <w:color w:val="000000"/>
              </w:rPr>
              <w:t xml:space="preserve"> Vedecký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</w:rPr>
              <w:t>karantovaný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</w:rPr>
              <w:t xml:space="preserve"> príspevok </w:t>
            </w:r>
          </w:p>
        </w:tc>
        <w:tc>
          <w:tcPr>
            <w:tcW w:w="160" w:type="dxa"/>
            <w:vAlign w:val="center"/>
          </w:tcPr>
          <w:p w14:paraId="7BD76A21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OCA13.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Hyperlink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stránku, na ktorej je výstup sprístupnený (úplný text, iná dokumentácia a podobne) /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Hyperlink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webpage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where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output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available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full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text,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documentation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38000563" w:rsidR="00764F4B" w:rsidRPr="002D12EF" w:rsidRDefault="00E062BC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https://clinicalsocialwork.eu/wp-content/uploads/2022/07/cswhi_04_2022_05_bundzelova.pdf</w:t>
            </w:r>
          </w:p>
        </w:tc>
        <w:tc>
          <w:tcPr>
            <w:tcW w:w="160" w:type="dxa"/>
            <w:vAlign w:val="center"/>
          </w:tcPr>
          <w:p w14:paraId="655A2F9A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OCA14. Charakteristika autorského vkladu /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Characteristics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author's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1BF6F1CB" w:rsidR="00764F4B" w:rsidRPr="002D12EF" w:rsidRDefault="002D12EF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5,263</w:t>
            </w:r>
            <w:r w:rsidR="002908F6"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764F4B" w:rsidRPr="002D12EF" w:rsidRDefault="007F1E7F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3" w:anchor="'poznamky_explanatory notes'!A1" w:history="1"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Annotation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output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with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contextual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information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concerning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description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creative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process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and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content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research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/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artistic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/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other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activity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, etc.  </w:t>
              </w:r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>8</w:t>
              </w:r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br w:type="page"/>
              </w:r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Rozsah do 200 slov v slovenskom jazyku /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Range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up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to 200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words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in Slovak</w:t>
              </w:r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br w:type="page"/>
                <w:t xml:space="preserve">Rozsah do 200 slov v anglickom jazyku /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Range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up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to 200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words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A1E09A" w14:textId="77777777" w:rsidR="002D12EF" w:rsidRPr="002D12EF" w:rsidRDefault="002D12EF" w:rsidP="002D12EF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Bodové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prevalenčné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štúdie nám približujú situácie v hraničných pohotovostných podmienkach, kde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longitudinálne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alebo komparatívne</w:t>
            </w:r>
          </w:p>
          <w:p w14:paraId="7E3226AB" w14:textId="77777777" w:rsidR="002D12EF" w:rsidRPr="002D12EF" w:rsidRDefault="002D12EF" w:rsidP="002D12EF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štúdie nie sú z hľadiska logistickej bezpečnosti reálne.</w:t>
            </w:r>
          </w:p>
          <w:p w14:paraId="65026D33" w14:textId="77777777" w:rsidR="002D12EF" w:rsidRPr="002D12EF" w:rsidRDefault="002D12EF" w:rsidP="002D12EF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Jednodňová bodová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prevalenčná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štúdia vykonaná na najčastejšie používaných kontrolných bodoch medzi Ukrajinou (UA) a Slovenskom</w:t>
            </w:r>
          </w:p>
          <w:p w14:paraId="292419C4" w14:textId="77777777" w:rsidR="002D12EF" w:rsidRPr="002D12EF" w:rsidRDefault="002D12EF" w:rsidP="002D12EF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(SK). Žiadny prípad TBC vyšetrený podľa odporúčaní WHO</w:t>
            </w:r>
          </w:p>
          <w:p w14:paraId="68FD3EAE" w14:textId="77777777" w:rsidR="002D12EF" w:rsidRPr="002D12EF" w:rsidRDefault="002D12EF" w:rsidP="002D12EF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dotazníkom, ani HIV vykonaný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rýchlotestom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nebol zaznamenaný</w:t>
            </w:r>
          </w:p>
          <w:p w14:paraId="5334AAFC" w14:textId="565A882E" w:rsidR="00764F4B" w:rsidRPr="002D12EF" w:rsidRDefault="002D12EF" w:rsidP="002D12EF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7. deň po vyhlásení vojny</w:t>
            </w:r>
          </w:p>
        </w:tc>
        <w:tc>
          <w:tcPr>
            <w:tcW w:w="160" w:type="dxa"/>
            <w:vAlign w:val="center"/>
          </w:tcPr>
          <w:p w14:paraId="2690653B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764F4B" w:rsidRPr="002D12EF" w:rsidRDefault="007F1E7F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4" w:anchor="'poznamky_explanatory notes'!A1" w:history="1"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OCA16. Anotácia výstupu v anglickom jazyku /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Annotation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of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>the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t xml:space="preserve"> output in English </w:t>
              </w:r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  <w:vertAlign w:val="superscript"/>
                </w:rPr>
                <w:t xml:space="preserve"> 9</w:t>
              </w:r>
              <w:r w:rsidR="00764F4B" w:rsidRPr="002D12EF">
                <w:rPr>
                  <w:rFonts w:asciiTheme="minorHAnsi" w:hAnsiTheme="minorHAnsi" w:cstheme="minorHAnsi"/>
                  <w:sz w:val="20"/>
                  <w:szCs w:val="20"/>
                </w:rPr>
                <w:br w:type="page"/>
              </w:r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Rozsah do 200 slov /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Range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up</w:t>
              </w:r>
              <w:proofErr w:type="spellEnd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 xml:space="preserve"> to 200 </w:t>
              </w:r>
              <w:proofErr w:type="spellStart"/>
              <w:r w:rsidR="00764F4B" w:rsidRPr="002D12EF">
                <w:rPr>
                  <w:rFonts w:asciiTheme="minorHAnsi" w:hAnsiTheme="minorHAnsi" w:cstheme="minorHAnsi"/>
                  <w:i/>
                  <w:iCs/>
                  <w:color w:val="808080"/>
                  <w:sz w:val="20"/>
                  <w:szCs w:val="20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7A9EF2A1" w:rsidR="00764F4B" w:rsidRPr="002D12EF" w:rsidRDefault="002D12EF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Point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prevalence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studies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bring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us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approximate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situations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border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emergency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settings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where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longitudinal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or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comparative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studies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are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not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realistic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from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logistic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safety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points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view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one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day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point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prevalence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study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performed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at most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frequently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used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checkpoints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between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Ukraine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(UA) and Slovakia (SK). No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case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of TB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screened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by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WHO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recommended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questionnaire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, or HIV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performed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by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rapid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test has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been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noted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on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day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7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after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war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was</w:t>
            </w:r>
            <w:proofErr w:type="spellEnd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sz w:val="20"/>
                <w:szCs w:val="20"/>
              </w:rPr>
              <w:t>declared</w:t>
            </w:r>
            <w:proofErr w:type="spellEnd"/>
          </w:p>
        </w:tc>
        <w:tc>
          <w:tcPr>
            <w:tcW w:w="160" w:type="dxa"/>
            <w:vAlign w:val="center"/>
          </w:tcPr>
          <w:p w14:paraId="1D74A24E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OCA17. Zoznam najviac 5 najvýznamnejších ohlasov na výstup  / List of maximum 5 most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significant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citations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corresponding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output </w:t>
            </w: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Rozsah do 200 slov /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Range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up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to 200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764F4B" w:rsidRPr="002D12EF" w:rsidRDefault="00764F4B" w:rsidP="00764F4B">
            <w:pPr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color w:val="212529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OCA18. Charakteristika dopadu výstupu na spoločensko-hospodársku prax /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Characteristics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output's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impact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socio-economic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practice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Rozsah do 200 slov v slovenskom jazyku /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Range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up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to 200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words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in Slovak</w:t>
            </w:r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br/>
              <w:t xml:space="preserve">Rozsah do 200 slov v anglickom jazyku /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Range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up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to 200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words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764F4B" w:rsidRPr="002D12EF" w:rsidRDefault="00764F4B" w:rsidP="00764F4B">
            <w:pPr>
              <w:pStyle w:val="PredformtovanHTML"/>
              <w:shd w:val="clear" w:color="auto" w:fill="F8F9FA"/>
              <w:rPr>
                <w:rFonts w:asciiTheme="minorHAnsi" w:eastAsia="Times New Roman" w:hAnsiTheme="minorHAnsi" w:cstheme="minorHAnsi" w:hint="defaul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4F4B" w:rsidRPr="002D12EF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OCA19. Charakteristika dopadu výstupu a súvisiacich aktivít na vzdelávací proces /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Characteristics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output and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related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activities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'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impact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educational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process</w:t>
            </w:r>
            <w:proofErr w:type="spellEnd"/>
            <w:r w:rsidRPr="002D12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Rozsah do 200 slov v slovenskom jazyku /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Range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up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to 200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words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in Slovak</w:t>
            </w:r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br/>
              <w:t xml:space="preserve">Rozsah do 200 slov v anglickom jazyku /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Range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up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to 200 </w:t>
            </w:r>
            <w:proofErr w:type="spellStart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>words</w:t>
            </w:r>
            <w:proofErr w:type="spellEnd"/>
            <w:r w:rsidRPr="002D12EF">
              <w:rPr>
                <w:rFonts w:asciiTheme="minorHAnsi" w:hAnsiTheme="minorHAnsi" w:cstheme="minorHAnsi"/>
                <w:i/>
                <w:iCs/>
                <w:color w:val="808080"/>
                <w:sz w:val="20"/>
                <w:szCs w:val="20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764F4B" w:rsidRPr="002D12EF" w:rsidRDefault="00764F4B" w:rsidP="00764F4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764F4B" w:rsidRPr="002D12EF" w:rsidRDefault="00764F4B" w:rsidP="00764F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23BD037" w14:textId="77777777" w:rsidR="00500888" w:rsidRPr="002D12EF" w:rsidRDefault="00500888" w:rsidP="00500888">
      <w:pPr>
        <w:rPr>
          <w:rFonts w:asciiTheme="minorHAnsi" w:hAnsiTheme="minorHAnsi" w:cstheme="minorHAnsi"/>
          <w:sz w:val="20"/>
          <w:szCs w:val="20"/>
        </w:rPr>
      </w:pPr>
    </w:p>
    <w:p w14:paraId="7FCAFA0A" w14:textId="77777777" w:rsidR="00131F27" w:rsidRPr="002D12EF" w:rsidRDefault="00131F27">
      <w:pPr>
        <w:rPr>
          <w:rFonts w:asciiTheme="minorHAnsi" w:hAnsiTheme="minorHAnsi" w:cstheme="minorHAnsi"/>
          <w:sz w:val="20"/>
          <w:szCs w:val="20"/>
        </w:rPr>
      </w:pPr>
    </w:p>
    <w:sectPr w:rsidR="00131F27" w:rsidRPr="002D12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17361"/>
    <w:rsid w:val="0022690C"/>
    <w:rsid w:val="00233BF3"/>
    <w:rsid w:val="0024060D"/>
    <w:rsid w:val="00271EC9"/>
    <w:rsid w:val="002908F6"/>
    <w:rsid w:val="002D12EF"/>
    <w:rsid w:val="0033142E"/>
    <w:rsid w:val="00387E7A"/>
    <w:rsid w:val="003936B2"/>
    <w:rsid w:val="004076D1"/>
    <w:rsid w:val="00420578"/>
    <w:rsid w:val="00463824"/>
    <w:rsid w:val="00500888"/>
    <w:rsid w:val="00517C58"/>
    <w:rsid w:val="00564F3D"/>
    <w:rsid w:val="005F6959"/>
    <w:rsid w:val="00616CCE"/>
    <w:rsid w:val="00641D5C"/>
    <w:rsid w:val="00652F82"/>
    <w:rsid w:val="006628B0"/>
    <w:rsid w:val="006B2E47"/>
    <w:rsid w:val="00714638"/>
    <w:rsid w:val="00764F4B"/>
    <w:rsid w:val="007F1E7F"/>
    <w:rsid w:val="0087635C"/>
    <w:rsid w:val="009147CB"/>
    <w:rsid w:val="009A069E"/>
    <w:rsid w:val="00A00B47"/>
    <w:rsid w:val="00A160F8"/>
    <w:rsid w:val="00A64407"/>
    <w:rsid w:val="00AC71DE"/>
    <w:rsid w:val="00B17BA2"/>
    <w:rsid w:val="00B53689"/>
    <w:rsid w:val="00B630CA"/>
    <w:rsid w:val="00BC003C"/>
    <w:rsid w:val="00BC65D1"/>
    <w:rsid w:val="00D32FD5"/>
    <w:rsid w:val="00DB2FDA"/>
    <w:rsid w:val="00DE7B95"/>
    <w:rsid w:val="00E062BC"/>
    <w:rsid w:val="00E37701"/>
    <w:rsid w:val="00EE65D7"/>
    <w:rsid w:val="00EF2F40"/>
    <w:rsid w:val="00F56B32"/>
    <w:rsid w:val="00F658DD"/>
    <w:rsid w:val="00FC776C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  <w:style w:type="paragraph" w:styleId="Normlnywebov">
    <w:name w:val="Normal (Web)"/>
    <w:basedOn w:val="Normlny"/>
    <w:uiPriority w:val="99"/>
    <w:semiHidden/>
    <w:unhideWhenUsed/>
    <w:rsid w:val="004076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46</cp:revision>
  <dcterms:created xsi:type="dcterms:W3CDTF">2023-02-01T18:51:00Z</dcterms:created>
  <dcterms:modified xsi:type="dcterms:W3CDTF">2023-03-16T08:36:00Z</dcterms:modified>
</cp:coreProperties>
</file>